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EEC83" w14:textId="77777777" w:rsidR="00053A65" w:rsidRPr="00053A65" w:rsidRDefault="00053A65" w:rsidP="00053A65">
      <w:pPr>
        <w:rPr>
          <w:rFonts w:eastAsia="Calibri" w:cs="Times New Roman"/>
          <w:szCs w:val="24"/>
        </w:rPr>
      </w:pPr>
    </w:p>
    <w:p w14:paraId="099434E3" w14:textId="77777777" w:rsidR="00053A65" w:rsidRPr="00053A65" w:rsidRDefault="00053A65" w:rsidP="00053A65">
      <w:pPr>
        <w:rPr>
          <w:rFonts w:eastAsia="Calibri" w:cs="Times New Roman"/>
          <w:szCs w:val="24"/>
        </w:rPr>
      </w:pPr>
    </w:p>
    <w:p w14:paraId="15BD8D08" w14:textId="77777777" w:rsidR="00053A65" w:rsidRPr="00053A65" w:rsidRDefault="00053A65" w:rsidP="00053A65">
      <w:pPr>
        <w:rPr>
          <w:rFonts w:eastAsia="Calibri" w:cs="Times New Roman"/>
          <w:szCs w:val="24"/>
        </w:rPr>
      </w:pPr>
    </w:p>
    <w:p w14:paraId="23D837F6" w14:textId="77777777" w:rsidR="00053A65" w:rsidRPr="00053A65" w:rsidRDefault="00053A65" w:rsidP="00053A65">
      <w:pPr>
        <w:rPr>
          <w:rFonts w:eastAsia="Calibri" w:cs="Times New Roman"/>
          <w:szCs w:val="24"/>
        </w:rPr>
      </w:pPr>
    </w:p>
    <w:p w14:paraId="38E799DB" w14:textId="77777777" w:rsidR="00053A65" w:rsidRPr="00053A65" w:rsidRDefault="00053A65" w:rsidP="00053A65">
      <w:pPr>
        <w:spacing w:after="160" w:line="259" w:lineRule="auto"/>
        <w:jc w:val="center"/>
        <w:rPr>
          <w:rFonts w:eastAsia="Calibri" w:cs="Times New Roman"/>
          <w:szCs w:val="24"/>
        </w:rPr>
      </w:pPr>
      <w:r w:rsidRPr="00053A65">
        <w:rPr>
          <w:rFonts w:eastAsia="Calibri" w:cs="Times New Roman"/>
          <w:noProof/>
          <w:szCs w:val="24"/>
          <w:lang w:eastAsia="hr-HR"/>
        </w:rPr>
        <w:drawing>
          <wp:inline distT="0" distB="0" distL="0" distR="0" wp14:anchorId="5E909EA6" wp14:editId="6D231EB8">
            <wp:extent cx="502942" cy="684000"/>
            <wp:effectExtent l="0" t="0" r="0" b="190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A65">
        <w:rPr>
          <w:rFonts w:eastAsia="Calibri" w:cs="Times New Roman"/>
          <w:szCs w:val="24"/>
        </w:rPr>
        <w:fldChar w:fldCharType="begin"/>
      </w:r>
      <w:r w:rsidRPr="00053A65">
        <w:rPr>
          <w:rFonts w:eastAsia="Calibri" w:cs="Times New Roman"/>
          <w:szCs w:val="24"/>
        </w:rPr>
        <w:instrText xml:space="preserve"> INCLUDEPICTURE "http://www.inet.hr/~box/images/grb-rh.gif" \* MERGEFORMATINET </w:instrText>
      </w:r>
      <w:r w:rsidRPr="00053A65">
        <w:rPr>
          <w:rFonts w:eastAsia="Calibri" w:cs="Times New Roman"/>
          <w:szCs w:val="24"/>
        </w:rPr>
        <w:fldChar w:fldCharType="end"/>
      </w:r>
    </w:p>
    <w:p w14:paraId="280636F5" w14:textId="77777777" w:rsidR="00053A65" w:rsidRPr="00053A65" w:rsidRDefault="00053A65" w:rsidP="00053A65">
      <w:pPr>
        <w:spacing w:before="60" w:after="1680" w:line="259" w:lineRule="auto"/>
        <w:jc w:val="center"/>
        <w:rPr>
          <w:rFonts w:eastAsia="Calibri" w:cs="Times New Roman"/>
          <w:szCs w:val="24"/>
        </w:rPr>
      </w:pPr>
      <w:r w:rsidRPr="00053A65">
        <w:rPr>
          <w:rFonts w:eastAsia="Calibri" w:cs="Times New Roman"/>
          <w:szCs w:val="24"/>
        </w:rPr>
        <w:t>VLADA REPUBLIKE HRVATSKE</w:t>
      </w:r>
    </w:p>
    <w:p w14:paraId="11772B06" w14:textId="55335B7C" w:rsidR="00053A65" w:rsidRPr="00053A65" w:rsidRDefault="00053A65" w:rsidP="00053A65">
      <w:pPr>
        <w:spacing w:after="2400" w:line="259" w:lineRule="auto"/>
        <w:jc w:val="right"/>
        <w:rPr>
          <w:rFonts w:eastAsia="Calibri" w:cs="Times New Roman"/>
          <w:szCs w:val="24"/>
        </w:rPr>
      </w:pPr>
      <w:r w:rsidRPr="00053A65">
        <w:rPr>
          <w:rFonts w:eastAsia="Calibri" w:cs="Times New Roman"/>
          <w:szCs w:val="24"/>
        </w:rPr>
        <w:t xml:space="preserve">Zagreb, </w:t>
      </w:r>
      <w:r w:rsidR="00AC70A0">
        <w:rPr>
          <w:rFonts w:eastAsia="Calibri" w:cs="Times New Roman"/>
          <w:szCs w:val="24"/>
        </w:rPr>
        <w:t>26</w:t>
      </w:r>
      <w:r>
        <w:rPr>
          <w:rFonts w:eastAsia="Calibri" w:cs="Times New Roman"/>
          <w:szCs w:val="24"/>
        </w:rPr>
        <w:t>. ožujka</w:t>
      </w:r>
      <w:r w:rsidRPr="00053A65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053A65">
        <w:rPr>
          <w:rFonts w:eastAsia="Calibri" w:cs="Times New Roman"/>
          <w:szCs w:val="24"/>
        </w:rPr>
        <w:t xml:space="preserve">. </w:t>
      </w:r>
    </w:p>
    <w:p w14:paraId="23BA4CBD" w14:textId="77777777" w:rsidR="00053A65" w:rsidRPr="00053A65" w:rsidRDefault="00053A65" w:rsidP="00053A65">
      <w:pPr>
        <w:spacing w:after="160" w:line="360" w:lineRule="auto"/>
        <w:rPr>
          <w:rFonts w:eastAsia="Calibri" w:cs="Times New Roman"/>
          <w:szCs w:val="24"/>
        </w:rPr>
      </w:pPr>
      <w:r w:rsidRPr="00053A65">
        <w:rPr>
          <w:rFonts w:eastAsia="Calibri" w:cs="Times New Roman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53A65" w:rsidRPr="00053A65" w14:paraId="0B6F8D3A" w14:textId="77777777" w:rsidTr="00524F87">
        <w:tc>
          <w:tcPr>
            <w:tcW w:w="1951" w:type="dxa"/>
          </w:tcPr>
          <w:p w14:paraId="3D1EB40B" w14:textId="77777777" w:rsidR="00053A65" w:rsidRPr="00053A65" w:rsidRDefault="00053A65" w:rsidP="00053A65">
            <w:pPr>
              <w:spacing w:after="160" w:line="360" w:lineRule="auto"/>
              <w:jc w:val="right"/>
              <w:rPr>
                <w:rFonts w:eastAsia="Calibri" w:cs="Times New Roman"/>
                <w:szCs w:val="24"/>
              </w:rPr>
            </w:pPr>
            <w:r w:rsidRPr="00053A65">
              <w:rPr>
                <w:rFonts w:eastAsia="Calibri" w:cs="Times New Roman"/>
                <w:b/>
                <w:smallCaps/>
                <w:szCs w:val="24"/>
              </w:rPr>
              <w:t>Predlagatelj</w:t>
            </w:r>
            <w:r w:rsidRPr="00053A65">
              <w:rPr>
                <w:rFonts w:eastAsia="Calibri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5DEDEB7A" w14:textId="77777777" w:rsidR="00053A65" w:rsidRPr="00053A65" w:rsidRDefault="00053A65" w:rsidP="00053A65">
            <w:pPr>
              <w:spacing w:after="160" w:line="360" w:lineRule="auto"/>
              <w:rPr>
                <w:rFonts w:eastAsia="Calibri" w:cs="Times New Roman"/>
                <w:szCs w:val="24"/>
              </w:rPr>
            </w:pPr>
            <w:r w:rsidRPr="00053A65">
              <w:rPr>
                <w:rFonts w:eastAsia="Calibri" w:cs="Times New Roman"/>
                <w:szCs w:val="24"/>
              </w:rPr>
              <w:t xml:space="preserve">Ministarstvo gospodarstva </w:t>
            </w:r>
          </w:p>
        </w:tc>
      </w:tr>
    </w:tbl>
    <w:p w14:paraId="51899EBF" w14:textId="77777777" w:rsidR="00053A65" w:rsidRPr="00053A65" w:rsidRDefault="00053A65" w:rsidP="00053A65">
      <w:pPr>
        <w:spacing w:after="160" w:line="360" w:lineRule="auto"/>
        <w:rPr>
          <w:rFonts w:eastAsia="Calibri" w:cs="Times New Roman"/>
          <w:szCs w:val="24"/>
        </w:rPr>
      </w:pPr>
      <w:r w:rsidRPr="00053A65">
        <w:rPr>
          <w:rFonts w:eastAsia="Calibri" w:cs="Times New Roman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53A65" w:rsidRPr="00053A65" w14:paraId="101BB295" w14:textId="77777777" w:rsidTr="00524F87">
        <w:tc>
          <w:tcPr>
            <w:tcW w:w="1951" w:type="dxa"/>
          </w:tcPr>
          <w:p w14:paraId="279BD377" w14:textId="77777777" w:rsidR="00053A65" w:rsidRPr="00053A65" w:rsidRDefault="00053A65" w:rsidP="00053A65">
            <w:pPr>
              <w:spacing w:after="160" w:line="360" w:lineRule="auto"/>
              <w:jc w:val="right"/>
              <w:rPr>
                <w:rFonts w:eastAsia="Calibri" w:cs="Times New Roman"/>
                <w:szCs w:val="24"/>
              </w:rPr>
            </w:pPr>
            <w:r w:rsidRPr="00053A65">
              <w:rPr>
                <w:rFonts w:eastAsia="Calibri" w:cs="Times New Roman"/>
                <w:b/>
                <w:smallCaps/>
                <w:szCs w:val="24"/>
              </w:rPr>
              <w:t>Predmet</w:t>
            </w:r>
            <w:r w:rsidRPr="00053A65">
              <w:rPr>
                <w:rFonts w:eastAsia="Calibri" w:cs="Times New Roman"/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00C3A0C" w14:textId="77777777" w:rsidR="00053A65" w:rsidRPr="00053A65" w:rsidRDefault="00053A65" w:rsidP="00053A65">
            <w:pPr>
              <w:spacing w:after="160" w:line="259" w:lineRule="auto"/>
              <w:jc w:val="both"/>
              <w:rPr>
                <w:rFonts w:eastAsia="Calibri" w:cs="Times New Roman"/>
                <w:szCs w:val="24"/>
              </w:rPr>
            </w:pPr>
            <w:r w:rsidRPr="00053A65">
              <w:rPr>
                <w:rFonts w:eastAsia="Calibri" w:cs="Times New Roman"/>
                <w:szCs w:val="24"/>
              </w:rPr>
              <w:t>Prijedlog odluke o određivanju iznos</w:t>
            </w:r>
            <w:r>
              <w:rPr>
                <w:rFonts w:eastAsia="Calibri" w:cs="Times New Roman"/>
                <w:szCs w:val="24"/>
              </w:rPr>
              <w:t>a</w:t>
            </w:r>
            <w:r w:rsidRPr="00053A65">
              <w:rPr>
                <w:rFonts w:eastAsia="Calibri" w:cs="Times New Roman"/>
                <w:szCs w:val="24"/>
              </w:rPr>
              <w:t xml:space="preserve"> razlike između jediničnih cijena za centralne toplinske sustave i zatvorene toplinske sustave u odnosu na krajnje cijene isporučene toplinske energije</w:t>
            </w:r>
          </w:p>
        </w:tc>
      </w:tr>
    </w:tbl>
    <w:p w14:paraId="119EB7E7" w14:textId="77777777" w:rsidR="00053A65" w:rsidRPr="00053A65" w:rsidRDefault="00053A65" w:rsidP="00053A65">
      <w:pPr>
        <w:tabs>
          <w:tab w:val="left" w:pos="1843"/>
        </w:tabs>
        <w:spacing w:after="160" w:line="360" w:lineRule="auto"/>
        <w:ind w:left="1843" w:hanging="1843"/>
        <w:rPr>
          <w:rFonts w:eastAsia="Calibri" w:cs="Times New Roman"/>
          <w:szCs w:val="24"/>
        </w:rPr>
      </w:pPr>
      <w:r w:rsidRPr="00053A65">
        <w:rPr>
          <w:rFonts w:eastAsia="Calibri" w:cs="Times New Roman"/>
          <w:szCs w:val="24"/>
        </w:rPr>
        <w:t>__________________________________________________________________________</w:t>
      </w:r>
    </w:p>
    <w:p w14:paraId="1101CE1F" w14:textId="77777777" w:rsidR="00053A65" w:rsidRPr="00053A65" w:rsidRDefault="00053A65" w:rsidP="00053A65">
      <w:pPr>
        <w:spacing w:after="160" w:line="259" w:lineRule="auto"/>
        <w:rPr>
          <w:rFonts w:eastAsia="Calibri" w:cs="Times New Roman"/>
          <w:szCs w:val="24"/>
        </w:rPr>
      </w:pPr>
    </w:p>
    <w:p w14:paraId="0D4D2D64" w14:textId="77777777" w:rsidR="00053A65" w:rsidRPr="00053A65" w:rsidRDefault="00053A65" w:rsidP="00053A65">
      <w:pPr>
        <w:spacing w:after="160" w:line="259" w:lineRule="auto"/>
        <w:rPr>
          <w:rFonts w:eastAsia="Calibri" w:cs="Times New Roman"/>
          <w:szCs w:val="24"/>
        </w:rPr>
      </w:pPr>
    </w:p>
    <w:p w14:paraId="64D31CA8" w14:textId="77777777" w:rsidR="00053A65" w:rsidRPr="00053A65" w:rsidRDefault="00053A65" w:rsidP="00053A65">
      <w:pPr>
        <w:spacing w:after="160" w:line="259" w:lineRule="auto"/>
        <w:rPr>
          <w:rFonts w:eastAsia="Calibri" w:cs="Times New Roman"/>
          <w:szCs w:val="24"/>
        </w:rPr>
      </w:pPr>
    </w:p>
    <w:p w14:paraId="11FF563D" w14:textId="77777777" w:rsidR="00053A65" w:rsidRPr="00053A65" w:rsidRDefault="00053A65" w:rsidP="00053A65">
      <w:pPr>
        <w:spacing w:after="160" w:line="259" w:lineRule="auto"/>
        <w:rPr>
          <w:rFonts w:eastAsia="Calibri" w:cs="Times New Roman"/>
          <w:szCs w:val="24"/>
        </w:rPr>
      </w:pPr>
    </w:p>
    <w:p w14:paraId="0B9C29A5" w14:textId="77777777" w:rsidR="00053A65" w:rsidRDefault="00053A65">
      <w:pPr>
        <w:spacing w:after="160" w:line="259" w:lineRule="auto"/>
        <w:rPr>
          <w:rFonts w:eastAsia="Times New Roman" w:cs="Times New Roman"/>
          <w:color w:val="231F20"/>
          <w:szCs w:val="24"/>
          <w:lang w:eastAsia="hr-HR"/>
        </w:rPr>
      </w:pPr>
      <w:r>
        <w:rPr>
          <w:color w:val="231F20"/>
        </w:rPr>
        <w:lastRenderedPageBreak/>
        <w:br w:type="page"/>
      </w:r>
    </w:p>
    <w:p w14:paraId="00F65D5C" w14:textId="77777777" w:rsidR="00A941B8" w:rsidRDefault="00A941B8" w:rsidP="00A941B8">
      <w:pPr>
        <w:pStyle w:val="box47376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Na temelju članka </w:t>
      </w:r>
      <w:r w:rsidRPr="006F4263">
        <w:t>5. stavka 6. Uredb</w:t>
      </w:r>
      <w:r>
        <w:t>e</w:t>
      </w:r>
      <w:r w:rsidRPr="006F4263">
        <w:t xml:space="preserve"> o otklanjanju poremećaja na domaćem tržištu energije</w:t>
      </w:r>
      <w:r>
        <w:t xml:space="preserve"> </w:t>
      </w:r>
      <w:r w:rsidRPr="006F4263">
        <w:t>(,,Narodne novine“, br</w:t>
      </w:r>
      <w:r>
        <w:t>oj</w:t>
      </w:r>
      <w:r w:rsidRPr="00213CB4">
        <w:t xml:space="preserve"> 31/23, 74/23, 107/23, 122/23, 32/24, 104/24</w:t>
      </w:r>
      <w:r>
        <w:t xml:space="preserve"> i </w:t>
      </w:r>
      <w:r w:rsidRPr="00213CB4">
        <w:t>132/24)</w:t>
      </w:r>
      <w:r>
        <w:rPr>
          <w:color w:val="231F20"/>
        </w:rPr>
        <w:t xml:space="preserve">, Vlada Republike Hrvatske je na sjednici </w:t>
      </w:r>
      <w:r w:rsidRPr="007A6F85">
        <w:t xml:space="preserve">održanoj </w:t>
      </w:r>
      <w:r w:rsidR="007A6F85">
        <w:t>13.ožujka 2025</w:t>
      </w:r>
      <w:r>
        <w:rPr>
          <w:color w:val="231F20"/>
        </w:rPr>
        <w:t>. donijela</w:t>
      </w:r>
    </w:p>
    <w:p w14:paraId="066851AA" w14:textId="77777777" w:rsidR="00A941B8" w:rsidRDefault="00A941B8" w:rsidP="00A941B8">
      <w:pPr>
        <w:pStyle w:val="box473762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bookmarkStart w:id="0" w:name="_Hlk192599276"/>
      <w:r>
        <w:rPr>
          <w:b/>
          <w:bCs/>
          <w:color w:val="231F20"/>
          <w:sz w:val="38"/>
          <w:szCs w:val="38"/>
        </w:rPr>
        <w:t>ODLUKU</w:t>
      </w:r>
    </w:p>
    <w:p w14:paraId="6B11A5EC" w14:textId="77777777" w:rsidR="00A941B8" w:rsidRDefault="00A941B8" w:rsidP="00A941B8">
      <w:pPr>
        <w:pStyle w:val="box473762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 ODREĐIVANJU IZNOSA RAZLIKE IZMEĐU JEDINIČNIH CIJENA ZA CENTRALNE TOPLINSKE SUSTAVE I ZATVORENE TOPLINSKE SUSTAVE U ODNOSU NA KRAJNJE CIJENE ISPORUČENE TOPLINSKE ENERGIJE</w:t>
      </w:r>
    </w:p>
    <w:bookmarkEnd w:id="0"/>
    <w:p w14:paraId="1F1738CB" w14:textId="77777777" w:rsidR="00A941B8" w:rsidRDefault="00A941B8" w:rsidP="00A941B8">
      <w:pPr>
        <w:pStyle w:val="box473762"/>
        <w:shd w:val="clear" w:color="auto" w:fill="FFFFFF"/>
        <w:spacing w:before="34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I.</w:t>
      </w:r>
    </w:p>
    <w:p w14:paraId="58EA871B" w14:textId="77777777" w:rsidR="00A941B8" w:rsidRDefault="00A941B8" w:rsidP="00A941B8">
      <w:pPr>
        <w:pStyle w:val="box47376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Ovom Odlukom određuje se iznos razlike između jediničnih cijena za centralne toplinske sustave i zatvorene toplinske sustave u odnosu na krajnje cijene isporučene toplinske energije određenih sukladno članku 5. stavcima 2. i 4. Uredbe o otklanjanju poremećaja na domaćem tržištu energije </w:t>
      </w:r>
      <w:r w:rsidR="006470C8" w:rsidRPr="006F4263">
        <w:t>(,,Narodne novine“, br</w:t>
      </w:r>
      <w:r w:rsidR="006470C8">
        <w:t>oj</w:t>
      </w:r>
      <w:r w:rsidR="006470C8" w:rsidRPr="00213CB4">
        <w:t xml:space="preserve"> 31/23, 74/23, 107/23, 122/23, 32/24, 104/24</w:t>
      </w:r>
      <w:r w:rsidR="006470C8">
        <w:t xml:space="preserve"> i </w:t>
      </w:r>
      <w:r w:rsidR="006470C8" w:rsidRPr="00213CB4">
        <w:t>132/24)</w:t>
      </w:r>
      <w:r w:rsidR="006470C8">
        <w:t xml:space="preserve"> </w:t>
      </w:r>
      <w:r>
        <w:rPr>
          <w:color w:val="231F20"/>
        </w:rPr>
        <w:t>za krajnje kupce u centralnim i zatvorenim toplinskim sustavima.</w:t>
      </w:r>
    </w:p>
    <w:p w14:paraId="384DFBF6" w14:textId="77777777" w:rsidR="00A941B8" w:rsidRDefault="00A941B8" w:rsidP="00A941B8">
      <w:pPr>
        <w:pStyle w:val="box473762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II.</w:t>
      </w:r>
    </w:p>
    <w:p w14:paraId="22C7EE73" w14:textId="77777777" w:rsidR="00A941B8" w:rsidRDefault="00A941B8" w:rsidP="00A941B8">
      <w:pPr>
        <w:shd w:val="clear" w:color="auto" w:fill="FFFFFF"/>
        <w:spacing w:after="48"/>
        <w:jc w:val="both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AA5015">
        <w:rPr>
          <w:rFonts w:eastAsia="Times New Roman" w:cs="Times New Roman"/>
          <w:color w:val="231F20"/>
          <w:szCs w:val="24"/>
          <w:lang w:eastAsia="hr-HR"/>
        </w:rPr>
        <w:t xml:space="preserve">Iznos razlike između jediničnih cijena u odnosu na krajnje cijene isporučene toplinske energije iz točke I. ove Odluke </w:t>
      </w:r>
      <w:r w:rsidRPr="007D05D3">
        <w:rPr>
          <w:rFonts w:eastAsia="Times New Roman" w:cs="Times New Roman"/>
          <w:szCs w:val="24"/>
          <w:lang w:eastAsia="hr-HR"/>
        </w:rPr>
        <w:t>određuje se po energetskim subjektima za centralne toplinske sustave, za razdoblje od 1. listopada 2024. do 3</w:t>
      </w:r>
      <w:r w:rsidR="00303F09" w:rsidRPr="007D05D3">
        <w:rPr>
          <w:rFonts w:eastAsia="Times New Roman" w:cs="Times New Roman"/>
          <w:szCs w:val="24"/>
          <w:lang w:eastAsia="hr-HR"/>
        </w:rPr>
        <w:t>0</w:t>
      </w:r>
      <w:r w:rsidRPr="007D05D3">
        <w:rPr>
          <w:rFonts w:eastAsia="Times New Roman" w:cs="Times New Roman"/>
          <w:szCs w:val="24"/>
          <w:lang w:eastAsia="hr-HR"/>
        </w:rPr>
        <w:t xml:space="preserve">. </w:t>
      </w:r>
      <w:r w:rsidR="00303F09" w:rsidRPr="007D05D3">
        <w:rPr>
          <w:rFonts w:eastAsia="Times New Roman" w:cs="Times New Roman"/>
          <w:szCs w:val="24"/>
          <w:lang w:eastAsia="hr-HR"/>
        </w:rPr>
        <w:t>rujna</w:t>
      </w:r>
      <w:r w:rsidRPr="007D05D3">
        <w:rPr>
          <w:rFonts w:eastAsia="Times New Roman" w:cs="Times New Roman"/>
          <w:szCs w:val="24"/>
          <w:lang w:eastAsia="hr-HR"/>
        </w:rPr>
        <w:t xml:space="preserve"> 2025. kako slijedi</w:t>
      </w:r>
      <w:r w:rsidRPr="00AA5015">
        <w:rPr>
          <w:rFonts w:eastAsia="Times New Roman" w:cs="Times New Roman"/>
          <w:color w:val="231F20"/>
          <w:szCs w:val="24"/>
          <w:lang w:eastAsia="hr-HR"/>
        </w:rPr>
        <w:t>:</w:t>
      </w:r>
    </w:p>
    <w:p w14:paraId="6B1382B3" w14:textId="77777777" w:rsidR="00A941B8" w:rsidRPr="00AA5015" w:rsidRDefault="00A941B8" w:rsidP="00A941B8">
      <w:pPr>
        <w:shd w:val="clear" w:color="auto" w:fill="FFFFFF"/>
        <w:spacing w:after="48"/>
        <w:ind w:firstLine="408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</w:p>
    <w:tbl>
      <w:tblPr>
        <w:tblW w:w="97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288"/>
        <w:gridCol w:w="1501"/>
        <w:gridCol w:w="2403"/>
      </w:tblGrid>
      <w:tr w:rsidR="00A941B8" w:rsidRPr="00AA5015" w14:paraId="3823749D" w14:textId="77777777" w:rsidTr="00117259">
        <w:trPr>
          <w:trHeight w:val="630"/>
        </w:trPr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9ED75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Energetski subjekt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79903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Centralni</w:t>
            </w: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toplinski sustav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5FD6E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Tarifni model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829AB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Iznos razlike</w:t>
            </w: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 xml:space="preserve">EUR/kWh </w:t>
            </w:r>
          </w:p>
        </w:tc>
      </w:tr>
      <w:tr w:rsidR="00A941B8" w:rsidRPr="00AA5015" w14:paraId="62CE78B5" w14:textId="77777777" w:rsidTr="00117259">
        <w:trPr>
          <w:trHeight w:val="48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D8FAA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Energo d.o.o.</w:t>
            </w:r>
          </w:p>
          <w:p w14:paraId="2BBD446D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Rijeka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6D102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GORNJA VEŽICA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CF12D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0C7D0EB6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A1AE8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0,0254</w:t>
            </w:r>
          </w:p>
          <w:p w14:paraId="7CD7185C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0,0254 </w:t>
            </w:r>
          </w:p>
        </w:tc>
      </w:tr>
      <w:tr w:rsidR="00A941B8" w:rsidRPr="00AA5015" w14:paraId="3DE41DE2" w14:textId="77777777" w:rsidTr="00117259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F99830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03A82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VOJAK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17B98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504F657D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53C23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0,0133</w:t>
            </w:r>
          </w:p>
          <w:p w14:paraId="2B10C862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0,0133 </w:t>
            </w:r>
          </w:p>
        </w:tc>
      </w:tr>
      <w:tr w:rsidR="00A941B8" w:rsidRPr="00AA5015" w14:paraId="0C0EF98B" w14:textId="77777777" w:rsidTr="00117259">
        <w:trPr>
          <w:trHeight w:val="3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B4F79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Gradska toplana d.o.o.</w:t>
            </w:r>
          </w:p>
          <w:p w14:paraId="1104D623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Karlovac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7B5E4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TINA UJEVIĆA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98FA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3978800A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4CF78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0,0171 </w:t>
            </w:r>
          </w:p>
          <w:p w14:paraId="252809DC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0,014</w:t>
            </w: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1</w:t>
            </w: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A941B8" w:rsidRPr="00AA5015" w14:paraId="280187E9" w14:textId="77777777" w:rsidTr="00117259">
        <w:trPr>
          <w:trHeight w:val="3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7FAF3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Brod-plin d.o.o.</w:t>
            </w:r>
          </w:p>
          <w:p w14:paraId="3CB3119F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Slavonski Brod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7D655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SLAVONIJA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63EFC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4BCB4E0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7CF50D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0,0087 </w:t>
            </w:r>
          </w:p>
          <w:p w14:paraId="41D1C864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0,0102 </w:t>
            </w:r>
          </w:p>
        </w:tc>
      </w:tr>
      <w:tr w:rsidR="00A941B8" w:rsidRPr="00AA5015" w14:paraId="4DDB6763" w14:textId="77777777" w:rsidTr="00117259">
        <w:trPr>
          <w:trHeight w:val="54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7B87B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Tehnostan d.o.o.</w:t>
            </w:r>
          </w:p>
          <w:p w14:paraId="51FD216C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Vukovar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804CC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BOROVO</w:t>
            </w: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NASELJE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CFAC6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6F8D50B9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EBE66" w14:textId="77777777" w:rsidR="00A941B8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E19B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1CBB05D4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E19B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</w:tc>
      </w:tr>
      <w:tr w:rsidR="00A941B8" w:rsidRPr="00AA5015" w14:paraId="530C7AEE" w14:textId="77777777" w:rsidTr="00117259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1A24D7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4512F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OLAJNICA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B1BF7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7E5CACCA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DCE53" w14:textId="77777777" w:rsidR="00A941B8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E19B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5DC1134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E19B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</w:tc>
      </w:tr>
      <w:tr w:rsidR="00A941B8" w:rsidRPr="00AA5015" w14:paraId="05845705" w14:textId="77777777" w:rsidTr="00117259">
        <w:trPr>
          <w:trHeight w:val="48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4DFE5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HEP – Toplinarstvo d.o.o.</w:t>
            </w:r>
          </w:p>
          <w:p w14:paraId="219E0918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Zagreb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F9A56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AD0F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08DBEDCC" w14:textId="77777777" w:rsidR="00A941B8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  <w:p w14:paraId="783E5A50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B998A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3CDDFAF4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2AF148D8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</w:tc>
      </w:tr>
      <w:tr w:rsidR="00A941B8" w:rsidRPr="00AA5015" w14:paraId="101E384D" w14:textId="77777777" w:rsidTr="00117259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0B1868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3375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6FC00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479E6670" w14:textId="77777777" w:rsidR="00A941B8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  <w:p w14:paraId="22CCB9BF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E8CCF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</w:t>
            </w:r>
          </w:p>
          <w:p w14:paraId="1A6CB26D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5705AF2D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</w:t>
            </w:r>
          </w:p>
        </w:tc>
      </w:tr>
      <w:tr w:rsidR="00A941B8" w:rsidRPr="00AA5015" w14:paraId="13779DD6" w14:textId="77777777" w:rsidTr="00117259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62AB79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9486D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SISAK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C670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72491A7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8ED11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14FB9B0A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</w:tc>
      </w:tr>
      <w:tr w:rsidR="00A941B8" w:rsidRPr="00AA5015" w14:paraId="612D429E" w14:textId="77777777" w:rsidTr="00117259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EEECDFE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16C67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SAMOBOR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8913E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2038F1F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71633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0,0071</w:t>
            </w:r>
          </w:p>
          <w:p w14:paraId="7C0B8654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0,0062</w:t>
            </w:r>
          </w:p>
        </w:tc>
      </w:tr>
      <w:tr w:rsidR="00A941B8" w:rsidRPr="00AA5015" w14:paraId="64396ECE" w14:textId="77777777" w:rsidTr="00117259">
        <w:trPr>
          <w:trHeight w:val="11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619C37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2A446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VELIKA GORICA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4F768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29A432CA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3957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0,0091</w:t>
            </w:r>
          </w:p>
          <w:p w14:paraId="16CD7CCC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0,0081</w:t>
            </w:r>
          </w:p>
        </w:tc>
      </w:tr>
    </w:tbl>
    <w:p w14:paraId="0A5CC6BB" w14:textId="77777777" w:rsidR="00A941B8" w:rsidRDefault="00A941B8" w:rsidP="00A941B8">
      <w:pPr>
        <w:shd w:val="clear" w:color="auto" w:fill="FFFFFF"/>
        <w:spacing w:before="34" w:after="48"/>
        <w:jc w:val="center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</w:p>
    <w:p w14:paraId="2440AB02" w14:textId="77777777" w:rsidR="00A941B8" w:rsidRDefault="00A941B8" w:rsidP="00A941B8">
      <w:pPr>
        <w:shd w:val="clear" w:color="auto" w:fill="FFFFFF"/>
        <w:spacing w:before="34" w:after="48"/>
        <w:jc w:val="center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</w:p>
    <w:p w14:paraId="5FED329B" w14:textId="77777777" w:rsidR="00A941B8" w:rsidRPr="00AA5015" w:rsidRDefault="00A941B8" w:rsidP="00A941B8">
      <w:pPr>
        <w:shd w:val="clear" w:color="auto" w:fill="FFFFFF"/>
        <w:spacing w:before="34" w:after="48"/>
        <w:jc w:val="center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AA5015">
        <w:rPr>
          <w:rFonts w:eastAsia="Times New Roman" w:cs="Times New Roman"/>
          <w:color w:val="231F20"/>
          <w:szCs w:val="24"/>
          <w:lang w:eastAsia="hr-HR"/>
        </w:rPr>
        <w:t>III.</w:t>
      </w:r>
    </w:p>
    <w:p w14:paraId="29BB5E12" w14:textId="77777777" w:rsidR="00A941B8" w:rsidRDefault="00A941B8" w:rsidP="00A941B8">
      <w:pPr>
        <w:shd w:val="clear" w:color="auto" w:fill="FFFFFF"/>
        <w:spacing w:after="48"/>
        <w:jc w:val="both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  <w:r w:rsidRPr="00AA5015">
        <w:rPr>
          <w:rFonts w:eastAsia="Times New Roman" w:cs="Times New Roman"/>
          <w:color w:val="231F20"/>
          <w:szCs w:val="24"/>
          <w:lang w:eastAsia="hr-HR"/>
        </w:rPr>
        <w:t>Iznos razlike između jediničnih cijena iz točke I. ove Odluke određuje se po energetskim subjektima za zatvorene toplinske sustave, za razdoblje od 1. listopada 202</w:t>
      </w:r>
      <w:r>
        <w:rPr>
          <w:rFonts w:eastAsia="Times New Roman" w:cs="Times New Roman"/>
          <w:color w:val="231F20"/>
          <w:szCs w:val="24"/>
          <w:lang w:eastAsia="hr-HR"/>
        </w:rPr>
        <w:t>4</w:t>
      </w:r>
      <w:r w:rsidRPr="00AA5015">
        <w:rPr>
          <w:rFonts w:eastAsia="Times New Roman" w:cs="Times New Roman"/>
          <w:color w:val="231F20"/>
          <w:szCs w:val="24"/>
          <w:lang w:eastAsia="hr-HR"/>
        </w:rPr>
        <w:t xml:space="preserve">. do </w:t>
      </w:r>
      <w:r w:rsidR="00303F09" w:rsidRPr="007D05D3">
        <w:rPr>
          <w:rFonts w:eastAsia="Times New Roman" w:cs="Times New Roman"/>
          <w:szCs w:val="24"/>
          <w:lang w:eastAsia="hr-HR"/>
        </w:rPr>
        <w:t xml:space="preserve">30. rujna 2025. </w:t>
      </w:r>
      <w:r w:rsidRPr="007D05D3">
        <w:rPr>
          <w:rFonts w:eastAsia="Times New Roman" w:cs="Times New Roman"/>
          <w:szCs w:val="24"/>
          <w:lang w:eastAsia="hr-HR"/>
        </w:rPr>
        <w:t xml:space="preserve">kako </w:t>
      </w:r>
      <w:r w:rsidRPr="00AA5015">
        <w:rPr>
          <w:rFonts w:eastAsia="Times New Roman" w:cs="Times New Roman"/>
          <w:color w:val="231F20"/>
          <w:szCs w:val="24"/>
          <w:lang w:eastAsia="hr-HR"/>
        </w:rPr>
        <w:t>slijedi:</w:t>
      </w:r>
    </w:p>
    <w:p w14:paraId="14149263" w14:textId="77777777" w:rsidR="00A941B8" w:rsidRDefault="00A941B8" w:rsidP="00A941B8">
      <w:pPr>
        <w:shd w:val="clear" w:color="auto" w:fill="FFFFFF"/>
        <w:spacing w:after="48"/>
        <w:ind w:firstLine="408"/>
        <w:jc w:val="both"/>
        <w:textAlignment w:val="baseline"/>
        <w:rPr>
          <w:rFonts w:eastAsia="Times New Roman" w:cs="Times New Roman"/>
          <w:color w:val="231F20"/>
          <w:szCs w:val="24"/>
          <w:lang w:eastAsia="hr-HR"/>
        </w:rPr>
      </w:pPr>
    </w:p>
    <w:tbl>
      <w:tblPr>
        <w:tblW w:w="98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4964"/>
        <w:gridCol w:w="1276"/>
        <w:gridCol w:w="1816"/>
      </w:tblGrid>
      <w:tr w:rsidR="00A941B8" w:rsidRPr="00AA5015" w14:paraId="20706F7C" w14:textId="77777777" w:rsidTr="00117259">
        <w:trPr>
          <w:trHeight w:val="632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09C21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Energetski subjekt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298B8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Zatvoreni toplinski sustav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9B90F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Tarifni model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D7C25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Iznos razlike EUR/kWh </w:t>
            </w:r>
          </w:p>
        </w:tc>
      </w:tr>
      <w:tr w:rsidR="00A941B8" w:rsidRPr="00AA5015" w14:paraId="05AC176F" w14:textId="77777777" w:rsidTr="00117259">
        <w:trPr>
          <w:trHeight w:val="371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71ABEF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Energo d.o.o.</w:t>
            </w:r>
          </w:p>
          <w:p w14:paraId="67DDB907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Rijeka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02D24" w14:textId="77777777" w:rsidR="00A941B8" w:rsidRPr="009C0C07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val="pl-PL" w:eastAsia="hr-HR"/>
              </w:rPr>
            </w:pPr>
            <w:r w:rsidRPr="009C0C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pl-PL" w:eastAsia="hr-HR"/>
              </w:rPr>
              <w:t>Krnjevo, Kozala, Škurinje, Podmurvice, PO-48, V-44, Zamet, Malonji i Srdoči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0919F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75FF6EE7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E9491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0,0177</w:t>
            </w:r>
          </w:p>
          <w:p w14:paraId="58A67A3B" w14:textId="77777777" w:rsidR="00A941B8" w:rsidRPr="008D0D0E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FF000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0,0165</w:t>
            </w:r>
          </w:p>
        </w:tc>
      </w:tr>
      <w:tr w:rsidR="00A941B8" w:rsidRPr="00AA5015" w14:paraId="3ABA8D86" w14:textId="77777777" w:rsidTr="00117259">
        <w:trPr>
          <w:trHeight w:val="371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BA350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Gradska toplana d.o.o.</w:t>
            </w:r>
          </w:p>
          <w:p w14:paraId="7785116C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Karlovac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A4283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Bašćinska cesta 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6732F" w14:textId="77777777" w:rsidR="00A941B8" w:rsidRPr="00AA5015" w:rsidRDefault="00A941B8" w:rsidP="00117259">
            <w:pPr>
              <w:jc w:val="center"/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0D9284" w14:textId="77777777" w:rsidR="00A941B8" w:rsidRPr="008D0D0E" w:rsidRDefault="00A941B8" w:rsidP="00117259">
            <w:pPr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0,0110 </w:t>
            </w:r>
          </w:p>
        </w:tc>
      </w:tr>
      <w:tr w:rsidR="00A941B8" w:rsidRPr="00AA5015" w14:paraId="543EE030" w14:textId="77777777" w:rsidTr="00117259">
        <w:trPr>
          <w:trHeight w:val="371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410AC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Brod-plin d.o.o.</w:t>
            </w:r>
          </w:p>
          <w:p w14:paraId="5F90496F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Slavonski Brod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E14F2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Mikrorajon i Kralj Tomislav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5657C9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5472ABFC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3CC6F3" w14:textId="77777777" w:rsidR="00A941B8" w:rsidRPr="00DA33D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A33D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0,0000 </w:t>
            </w:r>
          </w:p>
          <w:p w14:paraId="0CA94168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A33D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0,0000</w:t>
            </w:r>
          </w:p>
        </w:tc>
      </w:tr>
      <w:tr w:rsidR="00A941B8" w:rsidRPr="00AA5015" w14:paraId="58072EB6" w14:textId="77777777" w:rsidTr="00117259">
        <w:trPr>
          <w:trHeight w:val="371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B6E21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Tehnostan d.o.o.</w:t>
            </w:r>
          </w:p>
          <w:p w14:paraId="1C2C8F8E" w14:textId="77777777" w:rsidR="00A941B8" w:rsidRPr="009C0C07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</w:pPr>
            <w:r w:rsidRPr="009C0C07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val="pl-PL" w:eastAsia="hr-HR"/>
              </w:rPr>
              <w:t>Vukovar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BEA76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D2, D6 i INTERNATI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B3B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67306CD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C17EC" w14:textId="77777777" w:rsidR="00A941B8" w:rsidRPr="00DA33D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A33D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0,0000 </w:t>
            </w:r>
          </w:p>
          <w:p w14:paraId="7BBE8BD4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A33D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0,0000 </w:t>
            </w:r>
          </w:p>
        </w:tc>
      </w:tr>
      <w:tr w:rsidR="00A941B8" w:rsidRPr="00AA5015" w14:paraId="1B7E4BAB" w14:textId="77777777" w:rsidTr="00117259">
        <w:trPr>
          <w:trHeight w:val="483"/>
        </w:trPr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7EF22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HEP – Toplinarstvo d.o.o.</w:t>
            </w:r>
          </w:p>
          <w:p w14:paraId="2DBDBE39" w14:textId="77777777" w:rsidR="00A941B8" w:rsidRPr="00AA5015" w:rsidRDefault="00A941B8" w:rsidP="00117259">
            <w:pPr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Zagreb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76680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41583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1D9A3AB4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AC563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0,0114</w:t>
            </w:r>
          </w:p>
          <w:p w14:paraId="3E033112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0,0070</w:t>
            </w:r>
          </w:p>
        </w:tc>
      </w:tr>
      <w:tr w:rsidR="00A941B8" w:rsidRPr="00AA5015" w14:paraId="1BC08E88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29A793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EA50A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Osijek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E6D63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2017597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EFBDF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0,0100</w:t>
            </w:r>
          </w:p>
          <w:p w14:paraId="31A18037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0,0065</w:t>
            </w: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A941B8" w:rsidRPr="00AA5015" w14:paraId="3EFEAD3E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28B4FF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48050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Samobor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B698F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22FD6D64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A5204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0,0072</w:t>
            </w:r>
          </w:p>
          <w:p w14:paraId="77096899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0,0062</w:t>
            </w:r>
          </w:p>
        </w:tc>
      </w:tr>
      <w:tr w:rsidR="00A941B8" w:rsidRPr="00AA5015" w14:paraId="4287DCD1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490082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56506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Zaprešić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1834D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0EB6FEF0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EE820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0,0064</w:t>
            </w:r>
          </w:p>
          <w:p w14:paraId="5CFBCA2C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0,0054</w:t>
            </w:r>
          </w:p>
        </w:tc>
      </w:tr>
      <w:tr w:rsidR="00A941B8" w:rsidRPr="00AA5015" w14:paraId="23EC90DC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2F07CD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B476C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Velika Gorica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FCF2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5EB9F71C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9CA03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0,0000</w:t>
            </w:r>
          </w:p>
          <w:p w14:paraId="6CD78A96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0,0000 </w:t>
            </w:r>
          </w:p>
        </w:tc>
      </w:tr>
      <w:tr w:rsidR="00A941B8" w:rsidRPr="00AA5015" w14:paraId="531BFC50" w14:textId="77777777" w:rsidTr="00117259">
        <w:trPr>
          <w:trHeight w:val="427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FED8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Vartop d.o.o.</w:t>
            </w: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  <w:t>Varaždin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683C8" w14:textId="77777777" w:rsidR="00A941B8" w:rsidRPr="009C0C07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val="pl-PL" w:eastAsia="hr-HR"/>
              </w:rPr>
            </w:pPr>
            <w:r w:rsidRPr="009C0C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pl-PL" w:eastAsia="hr-HR"/>
              </w:rPr>
              <w:t>Zagrebačka 19A i Trakošćanska BB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A44EE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32D33DEC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B49F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7F50A02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</w:tc>
      </w:tr>
      <w:tr w:rsidR="00A941B8" w:rsidRPr="00AA5015" w14:paraId="30CFFBC6" w14:textId="77777777" w:rsidTr="00117259">
        <w:trPr>
          <w:trHeight w:val="427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B594F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Poslovni park d.o.o. Virovitica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E1A26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»P+7« Pejačevićeva 3, »P+5« Trg bana Josipa Jelačiča 10, »Obrtnik« Ferde Rusana 1, »Slavonija« Tomaša Masaryka bb i »P+8« Antuna Mihanovića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8DCD63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300D47E7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C22D7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  <w:p w14:paraId="0321553F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0,00 </w:t>
            </w:r>
          </w:p>
        </w:tc>
      </w:tr>
      <w:tr w:rsidR="00A941B8" w:rsidRPr="00AA5015" w14:paraId="557CD246" w14:textId="77777777" w:rsidTr="00117259">
        <w:trPr>
          <w:trHeight w:val="427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AA304" w14:textId="77777777" w:rsidR="00A941B8" w:rsidRPr="009C0C07" w:rsidRDefault="00A941B8" w:rsidP="00117259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pl-PL" w:eastAsia="hr-HR"/>
              </w:rPr>
            </w:pPr>
            <w:r w:rsidRPr="009C0C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pl-PL" w:eastAsia="hr-HR"/>
              </w:rPr>
              <w:t>Komunalac d.o.o. Požega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C90E4" w14:textId="77777777" w:rsidR="00A941B8" w:rsidRPr="009C0C07" w:rsidRDefault="00A941B8" w:rsidP="00117259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val="pl-PL" w:eastAsia="hr-HR"/>
              </w:rPr>
            </w:pPr>
            <w:r w:rsidRPr="009C0C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pl-PL" w:eastAsia="hr-HR"/>
              </w:rPr>
              <w:t>Požega: V. Nazor i M. Krleža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F5CC2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667E7" w14:textId="77777777" w:rsidR="00A941B8" w:rsidRPr="006F4263" w:rsidRDefault="00A941B8" w:rsidP="00117259">
            <w:pPr>
              <w:jc w:val="center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0,0113 </w:t>
            </w:r>
          </w:p>
        </w:tc>
      </w:tr>
      <w:tr w:rsidR="00A941B8" w:rsidRPr="00AA5015" w14:paraId="58B00A3C" w14:textId="77777777" w:rsidTr="00117259">
        <w:trPr>
          <w:trHeight w:val="371"/>
        </w:trPr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B9A9A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SKG d.o.o. Ogulin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6D13F" w14:textId="77777777" w:rsidR="00A941B8" w:rsidRPr="009C0C07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val="pl-PL" w:eastAsia="hr-HR"/>
              </w:rPr>
            </w:pPr>
            <w:r w:rsidRPr="009C0C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pl-PL" w:eastAsia="hr-HR"/>
              </w:rPr>
              <w:t>V. I. Marinkovića 13 i Ljudevita Gaja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64CC8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618C67E6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ADB30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0,0080 </w:t>
            </w:r>
          </w:p>
          <w:p w14:paraId="1E37AB36" w14:textId="77777777" w:rsidR="00A941B8" w:rsidRPr="006F4263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F4263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0,0055 </w:t>
            </w:r>
          </w:p>
        </w:tc>
      </w:tr>
      <w:tr w:rsidR="00A941B8" w:rsidRPr="00AA5015" w14:paraId="24251FFF" w14:textId="77777777" w:rsidTr="00117259">
        <w:trPr>
          <w:trHeight w:val="483"/>
        </w:trPr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594E8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GTG d.o.o. Vinkovci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E84D0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Kotlovnica »A«, A. Starčevića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9F53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79B0BD54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C3FDF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0,0000</w:t>
            </w:r>
          </w:p>
          <w:p w14:paraId="4A0B0755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0,0000 </w:t>
            </w:r>
          </w:p>
        </w:tc>
      </w:tr>
      <w:tr w:rsidR="00A941B8" w:rsidRPr="00AA5015" w14:paraId="5F478078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49447E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55ADB" w14:textId="77777777" w:rsidR="00A941B8" w:rsidRPr="009C0C07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val="pl-PL" w:eastAsia="hr-HR"/>
              </w:rPr>
            </w:pPr>
            <w:r w:rsidRPr="009C0C0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pl-PL" w:eastAsia="hr-HR"/>
              </w:rPr>
              <w:t>Kotlovnica »S-122«, A. B. Šimića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B6F88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4DC2848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2295F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0,0163</w:t>
            </w:r>
          </w:p>
          <w:p w14:paraId="62D9F98D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0,0150 </w:t>
            </w:r>
          </w:p>
        </w:tc>
      </w:tr>
      <w:tr w:rsidR="00A941B8" w:rsidRPr="00AA5015" w14:paraId="615710A8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5186B29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3EF7E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Kotlovnica »S-103«, K. Mislava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78851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5D557992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5B07B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0,0170</w:t>
            </w:r>
          </w:p>
          <w:p w14:paraId="47F01B60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0,0156</w:t>
            </w:r>
          </w:p>
        </w:tc>
      </w:tr>
      <w:tr w:rsidR="00A941B8" w:rsidRPr="00AA5015" w14:paraId="7F4B713F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426F49D" w14:textId="77777777" w:rsidR="00A941B8" w:rsidRPr="00AA5015" w:rsidRDefault="00A941B8" w:rsidP="00117259">
            <w:pPr>
              <w:jc w:val="center"/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832757" w14:textId="77777777" w:rsidR="00A941B8" w:rsidRPr="00AA5015" w:rsidRDefault="00A941B8" w:rsidP="00117259">
            <w:pP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Kotlovnica »S-108«, J. J. Strossmayera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91B8E" w14:textId="77777777" w:rsidR="00A941B8" w:rsidRPr="00AA5015" w:rsidRDefault="00A941B8" w:rsidP="00117259">
            <w:pPr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TM1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30674" w14:textId="77777777" w:rsidR="00A941B8" w:rsidRPr="0094350E" w:rsidRDefault="00A941B8" w:rsidP="00117259">
            <w:pPr>
              <w:jc w:val="center"/>
              <w:rPr>
                <w:rFonts w:eastAsia="Times New Roman" w:cs="Times New Roman"/>
                <w:sz w:val="16"/>
                <w:szCs w:val="16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0,0148</w:t>
            </w:r>
          </w:p>
        </w:tc>
      </w:tr>
      <w:tr w:rsidR="00A941B8" w:rsidRPr="00AA5015" w14:paraId="7AAB1C71" w14:textId="77777777" w:rsidTr="00117259">
        <w:trPr>
          <w:trHeight w:val="143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446750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C316B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Kotlovnica »S-96«, K. Mislava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0A90B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1AA1D64D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71081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0,0167</w:t>
            </w:r>
          </w:p>
          <w:p w14:paraId="1D30F81C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0,0154 </w:t>
            </w:r>
          </w:p>
        </w:tc>
      </w:tr>
      <w:tr w:rsidR="00A941B8" w:rsidRPr="00AA5015" w14:paraId="50148237" w14:textId="77777777" w:rsidTr="00117259">
        <w:trPr>
          <w:trHeight w:val="81"/>
        </w:trPr>
        <w:tc>
          <w:tcPr>
            <w:tcW w:w="18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6F05D4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3F4358" w14:textId="77777777" w:rsidR="00A941B8" w:rsidRPr="00AA5015" w:rsidRDefault="00A941B8" w:rsidP="00117259">
            <w:pPr>
              <w:rPr>
                <w:rFonts w:eastAsia="Times New Roman" w:cs="Times New Roman"/>
                <w:color w:val="231F20"/>
                <w:sz w:val="18"/>
                <w:szCs w:val="18"/>
                <w:lang w:eastAsia="hr-HR"/>
              </w:rPr>
            </w:pPr>
            <w:r w:rsidRPr="00AA501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Kotlovnica »HŽ-CIK-CAK«, A. Starčevića 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7830C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TM1</w:t>
            </w:r>
          </w:p>
          <w:p w14:paraId="3C3B5BC5" w14:textId="77777777" w:rsidR="00A941B8" w:rsidRPr="00AA5015" w:rsidRDefault="00A941B8" w:rsidP="00117259">
            <w:pPr>
              <w:jc w:val="center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A5015">
              <w:rPr>
                <w:rFonts w:eastAsia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TM2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C6A82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>0,0152</w:t>
            </w:r>
          </w:p>
          <w:p w14:paraId="44CEE42E" w14:textId="77777777" w:rsidR="00A941B8" w:rsidRPr="0094350E" w:rsidRDefault="00A941B8" w:rsidP="00117259">
            <w:pPr>
              <w:jc w:val="center"/>
              <w:textAlignment w:val="baseline"/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4350E">
              <w:rPr>
                <w:rFonts w:eastAsia="Times New Roman" w:cs="Times New Roman"/>
                <w:sz w:val="16"/>
                <w:szCs w:val="16"/>
                <w:bdr w:val="none" w:sz="0" w:space="0" w:color="auto" w:frame="1"/>
                <w:lang w:eastAsia="hr-HR"/>
              </w:rPr>
              <w:t xml:space="preserve">0,0139 </w:t>
            </w:r>
          </w:p>
        </w:tc>
      </w:tr>
    </w:tbl>
    <w:p w14:paraId="3DD45917" w14:textId="77777777" w:rsidR="00A941B8" w:rsidRDefault="00A941B8" w:rsidP="00A941B8">
      <w:pPr>
        <w:jc w:val="center"/>
      </w:pPr>
    </w:p>
    <w:p w14:paraId="166A8A6B" w14:textId="77777777" w:rsidR="00A941B8" w:rsidRDefault="00A941B8" w:rsidP="00A941B8">
      <w:pPr>
        <w:jc w:val="center"/>
      </w:pPr>
      <w:r>
        <w:t>IV.</w:t>
      </w:r>
    </w:p>
    <w:p w14:paraId="104CF427" w14:textId="77777777" w:rsidR="00A941B8" w:rsidRDefault="00A941B8" w:rsidP="00A941B8"/>
    <w:p w14:paraId="733F485E" w14:textId="77777777" w:rsidR="00A941B8" w:rsidRDefault="00A941B8" w:rsidP="00A941B8">
      <w:pPr>
        <w:autoSpaceDE w:val="0"/>
        <w:autoSpaceDN w:val="0"/>
        <w:adjustRightInd w:val="0"/>
        <w:jc w:val="both"/>
      </w:pPr>
      <w:r>
        <w:t xml:space="preserve">Energetski subjekti iz točaka II. i III. ove Odluke, </w:t>
      </w:r>
      <w:r w:rsidRPr="008D0D0E">
        <w:rPr>
          <w:rFonts w:cs="Times New Roman"/>
          <w:szCs w:val="24"/>
        </w:rPr>
        <w:t>osim energetskih subjekata Tehnostan d.o.o.</w:t>
      </w:r>
      <w:r>
        <w:rPr>
          <w:rFonts w:cs="Times New Roman"/>
          <w:szCs w:val="24"/>
        </w:rPr>
        <w:t xml:space="preserve"> </w:t>
      </w:r>
      <w:r w:rsidRPr="008D0D0E">
        <w:rPr>
          <w:rFonts w:cs="Times New Roman"/>
          <w:szCs w:val="24"/>
        </w:rPr>
        <w:t>Vukovar (za centralne i zatvorene toplinske sustave), HEP Toplinarstvo d.o.o. Zagreb (za</w:t>
      </w:r>
      <w:r>
        <w:rPr>
          <w:rFonts w:cs="Times New Roman"/>
          <w:szCs w:val="24"/>
        </w:rPr>
        <w:t xml:space="preserve"> </w:t>
      </w:r>
      <w:r w:rsidRPr="008D0D0E">
        <w:rPr>
          <w:rFonts w:cs="Times New Roman"/>
          <w:szCs w:val="24"/>
        </w:rPr>
        <w:t>centralne toplinske sustave u</w:t>
      </w:r>
      <w:r>
        <w:rPr>
          <w:rFonts w:cs="Times New Roman"/>
          <w:szCs w:val="24"/>
        </w:rPr>
        <w:t xml:space="preserve"> </w:t>
      </w:r>
      <w:r w:rsidRPr="008D0D0E">
        <w:rPr>
          <w:rFonts w:cs="Times New Roman"/>
          <w:szCs w:val="24"/>
        </w:rPr>
        <w:t>Zagrebu</w:t>
      </w:r>
      <w:r>
        <w:rPr>
          <w:rFonts w:cs="Times New Roman"/>
          <w:szCs w:val="24"/>
        </w:rPr>
        <w:t>, Osijeku</w:t>
      </w:r>
      <w:r w:rsidRPr="008D0D0E">
        <w:rPr>
          <w:rFonts w:cs="Times New Roman"/>
          <w:szCs w:val="24"/>
        </w:rPr>
        <w:t xml:space="preserve"> i Sisku</w:t>
      </w:r>
      <w:r>
        <w:rPr>
          <w:rFonts w:cs="Times New Roman"/>
          <w:szCs w:val="24"/>
        </w:rPr>
        <w:t xml:space="preserve"> te za zatvoreni toplinski sustav u Velikoj Gorici</w:t>
      </w:r>
      <w:r w:rsidRPr="008D0D0E">
        <w:rPr>
          <w:rFonts w:cs="Times New Roman"/>
          <w:szCs w:val="24"/>
        </w:rPr>
        <w:t>),</w:t>
      </w:r>
      <w:r>
        <w:rPr>
          <w:rFonts w:cs="Times New Roman"/>
          <w:szCs w:val="24"/>
        </w:rPr>
        <w:t xml:space="preserve"> GTG d.o.o. Vinkovci (za kotlovnicu „A“),</w:t>
      </w:r>
      <w:r w:rsidRPr="008D0D0E">
        <w:rPr>
          <w:rFonts w:cs="Times New Roman"/>
          <w:szCs w:val="24"/>
        </w:rPr>
        <w:t xml:space="preserve"> Poslovni park d.o.o. Virovitica</w:t>
      </w:r>
      <w:r>
        <w:rPr>
          <w:rFonts w:cs="Times New Roman"/>
          <w:szCs w:val="24"/>
        </w:rPr>
        <w:t xml:space="preserve">, </w:t>
      </w:r>
      <w:r w:rsidRPr="008D0D0E">
        <w:rPr>
          <w:rFonts w:cs="Times New Roman"/>
          <w:szCs w:val="24"/>
        </w:rPr>
        <w:t>Vartop d.o.o.</w:t>
      </w:r>
      <w:r>
        <w:rPr>
          <w:rFonts w:cs="Times New Roman"/>
          <w:szCs w:val="24"/>
        </w:rPr>
        <w:t xml:space="preserve"> </w:t>
      </w:r>
      <w:r w:rsidRPr="008D0D0E">
        <w:rPr>
          <w:rFonts w:cs="Times New Roman"/>
          <w:szCs w:val="24"/>
        </w:rPr>
        <w:t>Varaždin</w:t>
      </w:r>
      <w:r>
        <w:rPr>
          <w:rFonts w:cs="Times New Roman"/>
          <w:szCs w:val="24"/>
        </w:rPr>
        <w:t xml:space="preserve"> i Brod Plin d.o.o. </w:t>
      </w:r>
      <w:r w:rsidRPr="008D0D0E">
        <w:rPr>
          <w:rFonts w:cs="Times New Roman"/>
          <w:szCs w:val="24"/>
        </w:rPr>
        <w:t>za zatvorene toplinske sustave</w:t>
      </w:r>
      <w:r>
        <w:t xml:space="preserve">, dužni su na mjesečnoj razini krajnjim kupcima toplinske energije ispostavljati račune za isporučenu toplinsku energiju, na način da se iskaže jedinična razlika iz točaka II. i III. ove Odluke i </w:t>
      </w:r>
      <w:r>
        <w:lastRenderedPageBreak/>
        <w:t>umanji račun za ukupni iznos umnoška jedinične razlike (EUR/kWh) i isporučene toplinske energije u kWh.</w:t>
      </w:r>
    </w:p>
    <w:p w14:paraId="5DC833EF" w14:textId="77777777" w:rsidR="00A941B8" w:rsidRDefault="00A941B8" w:rsidP="00A941B8">
      <w:pPr>
        <w:jc w:val="both"/>
      </w:pPr>
    </w:p>
    <w:p w14:paraId="647D4657" w14:textId="77777777" w:rsidR="00A941B8" w:rsidRDefault="00A941B8" w:rsidP="00A941B8">
      <w:pPr>
        <w:jc w:val="both"/>
      </w:pPr>
      <w:r>
        <w:t>Energetski subjekti iz stavka 1. ove točke, po isteku obračunskog mjeseca od dana stupanja na snagu ove Odluke, dostavljaju Ministarstvu gospodarstva</w:t>
      </w:r>
      <w:r w:rsidR="00FD456D">
        <w:t>,</w:t>
      </w:r>
      <w:r>
        <w:t xml:space="preserve"> Upravi za energetiku, zahtjev za naknadu razlike iz stavka 1. ove točke, u elektroničkom formatu, putem adrese elektroničke pošte: </w:t>
      </w:r>
      <w:hyperlink r:id="rId12" w:history="1">
        <w:r w:rsidR="00FD456D" w:rsidRPr="007F6ABE">
          <w:rPr>
            <w:rStyle w:val="Hyperlink"/>
          </w:rPr>
          <w:t>energetika@mingo.hr</w:t>
        </w:r>
      </w:hyperlink>
      <w:r w:rsidR="00FD456D">
        <w:t xml:space="preserve"> </w:t>
      </w:r>
      <w:r>
        <w:t>ili fizičkom dostavom putem prijenosnog podatkovnog medija, kojem zahtjevu su dužni priložiti obračun po svakom obračunskom mjernom mjestu i uredno ispunjenu tablicu zahtjeva za naknadu razlike iz stavka 1. ove točke.</w:t>
      </w:r>
    </w:p>
    <w:p w14:paraId="350074BD" w14:textId="77777777" w:rsidR="00A941B8" w:rsidRDefault="00A941B8" w:rsidP="00A941B8">
      <w:pPr>
        <w:jc w:val="both"/>
      </w:pPr>
    </w:p>
    <w:p w14:paraId="1DF38388" w14:textId="59097741" w:rsidR="00320DBC" w:rsidRDefault="00320DBC" w:rsidP="00320DBC">
      <w:pPr>
        <w:jc w:val="both"/>
      </w:pPr>
      <w:bookmarkStart w:id="1" w:name="_GoBack"/>
      <w:bookmarkEnd w:id="1"/>
      <w:r>
        <w:t>Ministarstvo gospodarstva predložak tablice iz stavka 2. ove točke, objavljuje na svojim mrežnim stranicama u roku od 15 dana od dana stupanja na snagu ove Odluke.</w:t>
      </w:r>
    </w:p>
    <w:p w14:paraId="78F0F357" w14:textId="77777777" w:rsidR="00320DBC" w:rsidRDefault="00320DBC" w:rsidP="00A941B8">
      <w:pPr>
        <w:jc w:val="both"/>
      </w:pPr>
    </w:p>
    <w:p w14:paraId="10D07BE3" w14:textId="77777777" w:rsidR="00A941B8" w:rsidRDefault="00A941B8" w:rsidP="00A941B8">
      <w:pPr>
        <w:jc w:val="both"/>
      </w:pPr>
    </w:p>
    <w:p w14:paraId="292D7255" w14:textId="77777777" w:rsidR="00A941B8" w:rsidRDefault="00A941B8" w:rsidP="00A941B8">
      <w:pPr>
        <w:jc w:val="center"/>
      </w:pPr>
      <w:r>
        <w:t>V.</w:t>
      </w:r>
    </w:p>
    <w:p w14:paraId="4F87E991" w14:textId="77777777" w:rsidR="00A941B8" w:rsidRDefault="00A941B8" w:rsidP="00A941B8">
      <w:pPr>
        <w:jc w:val="both"/>
      </w:pPr>
    </w:p>
    <w:p w14:paraId="2C182C7B" w14:textId="77777777" w:rsidR="00A941B8" w:rsidRDefault="00A941B8" w:rsidP="00A941B8">
      <w:pPr>
        <w:jc w:val="both"/>
      </w:pPr>
      <w:r>
        <w:t>Ova Odluka stupa na snagu prvoga dana od dana objave u »Narodnim novinama«.</w:t>
      </w:r>
    </w:p>
    <w:p w14:paraId="366F2521" w14:textId="77777777" w:rsidR="00A941B8" w:rsidRDefault="00A941B8" w:rsidP="00A941B8"/>
    <w:p w14:paraId="60F0308A" w14:textId="77777777" w:rsidR="00A941B8" w:rsidRDefault="00A941B8" w:rsidP="00A941B8"/>
    <w:p w14:paraId="7982F7E5" w14:textId="77777777" w:rsidR="00A941B8" w:rsidRDefault="00A941B8" w:rsidP="00A941B8">
      <w:r>
        <w:t xml:space="preserve">Klasa: </w:t>
      </w:r>
    </w:p>
    <w:p w14:paraId="306CFD42" w14:textId="77777777" w:rsidR="00A941B8" w:rsidRDefault="00A941B8" w:rsidP="00A941B8">
      <w:r>
        <w:t xml:space="preserve">Urbroj: </w:t>
      </w:r>
    </w:p>
    <w:p w14:paraId="603CAA8F" w14:textId="77777777" w:rsidR="00A941B8" w:rsidRDefault="00A941B8" w:rsidP="00A941B8">
      <w:r>
        <w:t xml:space="preserve">Zagreb, </w:t>
      </w:r>
    </w:p>
    <w:p w14:paraId="12682B22" w14:textId="77777777" w:rsidR="00A941B8" w:rsidRDefault="00A941B8" w:rsidP="00A941B8"/>
    <w:p w14:paraId="414B8281" w14:textId="77777777" w:rsidR="00A941B8" w:rsidRDefault="00A941B8" w:rsidP="00A941B8">
      <w:pPr>
        <w:ind w:left="5664" w:firstLine="708"/>
      </w:pPr>
      <w:r>
        <w:t>Predsjednik</w:t>
      </w:r>
    </w:p>
    <w:p w14:paraId="08DA6FD3" w14:textId="77777777" w:rsidR="00A941B8" w:rsidRDefault="00A941B8" w:rsidP="00A941B8">
      <w:pPr>
        <w:ind w:left="5664" w:firstLine="708"/>
      </w:pPr>
    </w:p>
    <w:p w14:paraId="3F00A6C7" w14:textId="77777777" w:rsidR="00A941B8" w:rsidRDefault="00A941B8" w:rsidP="00A941B8">
      <w:pPr>
        <w:ind w:left="4956" w:firstLine="708"/>
      </w:pPr>
      <w:r>
        <w:t>mr. sc. Andrej Plenković</w:t>
      </w:r>
    </w:p>
    <w:p w14:paraId="170AF1D1" w14:textId="77777777" w:rsidR="00AC5C1D" w:rsidRDefault="00AC5C1D" w:rsidP="00A941B8">
      <w:pPr>
        <w:ind w:left="4956" w:firstLine="708"/>
      </w:pPr>
    </w:p>
    <w:p w14:paraId="19EBAA62" w14:textId="77777777" w:rsidR="00AC5C1D" w:rsidRDefault="00AC5C1D" w:rsidP="00A941B8">
      <w:pPr>
        <w:ind w:left="4956" w:firstLine="708"/>
      </w:pPr>
    </w:p>
    <w:p w14:paraId="00F421B6" w14:textId="77777777" w:rsidR="00AC5C1D" w:rsidRDefault="00AC5C1D" w:rsidP="00AC5C1D">
      <w:pPr>
        <w:ind w:left="4956" w:firstLine="708"/>
        <w:jc w:val="center"/>
      </w:pPr>
    </w:p>
    <w:p w14:paraId="30BDE7C2" w14:textId="77777777" w:rsidR="00AC5C1D" w:rsidRDefault="00AC5C1D" w:rsidP="00AC5C1D">
      <w:pPr>
        <w:ind w:left="4956" w:firstLine="708"/>
        <w:jc w:val="center"/>
      </w:pPr>
    </w:p>
    <w:p w14:paraId="0070D081" w14:textId="77777777" w:rsidR="00AC5C1D" w:rsidRDefault="00AC5C1D" w:rsidP="00AC5C1D">
      <w:pPr>
        <w:ind w:left="4956" w:firstLine="708"/>
        <w:jc w:val="center"/>
      </w:pPr>
    </w:p>
    <w:p w14:paraId="02FB875F" w14:textId="77777777" w:rsidR="00AC5C1D" w:rsidRDefault="00AC5C1D" w:rsidP="00AC5C1D">
      <w:pPr>
        <w:jc w:val="center"/>
        <w:rPr>
          <w:b/>
          <w:bCs/>
        </w:rPr>
      </w:pPr>
    </w:p>
    <w:p w14:paraId="06850093" w14:textId="77777777" w:rsidR="00AC5C1D" w:rsidRDefault="00AC5C1D" w:rsidP="00AC5C1D">
      <w:pPr>
        <w:jc w:val="center"/>
        <w:rPr>
          <w:b/>
          <w:bCs/>
        </w:rPr>
      </w:pPr>
    </w:p>
    <w:p w14:paraId="3773BF72" w14:textId="77777777" w:rsidR="00AC5C1D" w:rsidRDefault="00AC5C1D" w:rsidP="00AC5C1D">
      <w:pPr>
        <w:jc w:val="center"/>
        <w:rPr>
          <w:b/>
          <w:bCs/>
        </w:rPr>
      </w:pPr>
    </w:p>
    <w:p w14:paraId="6E845C86" w14:textId="77777777" w:rsidR="00AC5C1D" w:rsidRDefault="00AC5C1D" w:rsidP="00AC5C1D">
      <w:pPr>
        <w:jc w:val="center"/>
        <w:rPr>
          <w:b/>
          <w:bCs/>
        </w:rPr>
      </w:pPr>
    </w:p>
    <w:p w14:paraId="66DE8394" w14:textId="77777777" w:rsidR="00AC5C1D" w:rsidRDefault="00AC5C1D" w:rsidP="00AC5C1D">
      <w:pPr>
        <w:jc w:val="center"/>
        <w:rPr>
          <w:b/>
          <w:bCs/>
        </w:rPr>
      </w:pPr>
    </w:p>
    <w:p w14:paraId="016AAB32" w14:textId="77777777" w:rsidR="00AC5C1D" w:rsidRDefault="00AC5C1D" w:rsidP="00AC5C1D">
      <w:pPr>
        <w:jc w:val="center"/>
        <w:rPr>
          <w:b/>
          <w:bCs/>
        </w:rPr>
      </w:pPr>
    </w:p>
    <w:p w14:paraId="74365C40" w14:textId="77777777" w:rsidR="00AC5C1D" w:rsidRDefault="00AC5C1D" w:rsidP="00AC5C1D">
      <w:pPr>
        <w:jc w:val="center"/>
        <w:rPr>
          <w:b/>
          <w:bCs/>
        </w:rPr>
      </w:pPr>
    </w:p>
    <w:p w14:paraId="647E0134" w14:textId="77777777" w:rsidR="00AC5C1D" w:rsidRDefault="00AC5C1D" w:rsidP="00AC5C1D">
      <w:pPr>
        <w:jc w:val="center"/>
        <w:rPr>
          <w:b/>
          <w:bCs/>
        </w:rPr>
      </w:pPr>
    </w:p>
    <w:p w14:paraId="51011A4E" w14:textId="77777777" w:rsidR="00AC5C1D" w:rsidRDefault="00AC5C1D" w:rsidP="00AC5C1D">
      <w:pPr>
        <w:jc w:val="center"/>
        <w:rPr>
          <w:b/>
          <w:bCs/>
        </w:rPr>
      </w:pPr>
    </w:p>
    <w:p w14:paraId="325B0A30" w14:textId="77777777" w:rsidR="00AC5C1D" w:rsidRDefault="00AC5C1D" w:rsidP="00AC5C1D">
      <w:pPr>
        <w:jc w:val="center"/>
        <w:rPr>
          <w:b/>
          <w:bCs/>
        </w:rPr>
      </w:pPr>
    </w:p>
    <w:p w14:paraId="69A2A3D5" w14:textId="77777777" w:rsidR="00AA5015" w:rsidRDefault="00AC5C1D" w:rsidP="00AC5C1D">
      <w:pPr>
        <w:jc w:val="center"/>
        <w:rPr>
          <w:b/>
          <w:bCs/>
        </w:rPr>
      </w:pPr>
      <w:r>
        <w:rPr>
          <w:b/>
          <w:bCs/>
        </w:rPr>
        <w:lastRenderedPageBreak/>
        <w:t>Obrazloženje</w:t>
      </w:r>
    </w:p>
    <w:p w14:paraId="1F741EC3" w14:textId="77777777" w:rsidR="00AC5C1D" w:rsidRPr="00AC5C1D" w:rsidRDefault="00AC5C1D" w:rsidP="00AC5C1D">
      <w:pPr>
        <w:jc w:val="center"/>
        <w:rPr>
          <w:b/>
          <w:bCs/>
        </w:rPr>
      </w:pPr>
    </w:p>
    <w:p w14:paraId="44CCE665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 xml:space="preserve">U skladu s odredbama Uredbe o otklanjanju poremećaja na domaćem tržištu energije (»Narodne novine«, </w:t>
      </w:r>
      <w:r w:rsidR="006470C8" w:rsidRPr="006F4263">
        <w:t>br</w:t>
      </w:r>
      <w:r w:rsidR="006470C8">
        <w:t>oj</w:t>
      </w:r>
      <w:r w:rsidR="006470C8" w:rsidRPr="00213CB4">
        <w:t xml:space="preserve"> 31/23, 74/23, 107/23, 122/23, 32/24, 104/24</w:t>
      </w:r>
      <w:r w:rsidR="006470C8">
        <w:t xml:space="preserve"> i </w:t>
      </w:r>
      <w:r w:rsidR="006470C8" w:rsidRPr="00213CB4">
        <w:t>132/24</w:t>
      </w:r>
      <w:r w:rsidRPr="00AC5C1D">
        <w:t xml:space="preserve">) (dalje: Uredba), Hrvatska energetska regulatorna agencija je u postupku određivanja jedinične cijene za proizvodnju toplinske energije, na </w:t>
      </w:r>
      <w:r w:rsidR="009A45C7">
        <w:t>28. sjednici Upravnog vijeća Hrvatske energetske regulatorne agencije održanoj 30. rujna 2024.</w:t>
      </w:r>
      <w:r w:rsidR="009A45C7" w:rsidRPr="00AC5C1D">
        <w:t xml:space="preserve"> </w:t>
      </w:r>
      <w:r w:rsidRPr="00AC5C1D">
        <w:t xml:space="preserve">donijela odluke o jediničnim cijenama za proizvodnju toplinske energije za centralne toplinske sustave te </w:t>
      </w:r>
      <w:r w:rsidR="009A45C7">
        <w:t>na 29. sjednici Upravnog vijeća Hrvatske energetske regulatorne agencije održanoj 14. listopada 2024. odluku</w:t>
      </w:r>
      <w:r w:rsidRPr="00AC5C1D">
        <w:t xml:space="preserve"> o jediničnim cijenama za proizvodnju toplinske energije u zatvorenim toplinskim sustavima, (dalje: Odluke). </w:t>
      </w:r>
    </w:p>
    <w:p w14:paraId="03AF9C71" w14:textId="77777777" w:rsidR="006470C8" w:rsidRDefault="006470C8" w:rsidP="00AC5C1D">
      <w:pPr>
        <w:tabs>
          <w:tab w:val="left" w:pos="4020"/>
        </w:tabs>
        <w:jc w:val="both"/>
      </w:pPr>
    </w:p>
    <w:p w14:paraId="0311562C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Temeljem Odluke HERE predlaže se donošenje odluke o određivanju iznosa razlike između jediničnih cijena za centralne i zatvorene toplinske sustave sukladno članku 5 stavku 6. Uredbe.</w:t>
      </w:r>
      <w:r w:rsidR="009A45C7">
        <w:t xml:space="preserve"> Odluke su donesene za period 1. listopada 2024. do 31. ožujka 2025. te se ovom odlukom njihova primjena produljuje za narednih šest mjeseci. </w:t>
      </w:r>
    </w:p>
    <w:p w14:paraId="4B239586" w14:textId="77777777" w:rsidR="006470C8" w:rsidRDefault="006470C8" w:rsidP="00AC5C1D">
      <w:pPr>
        <w:tabs>
          <w:tab w:val="left" w:pos="4020"/>
        </w:tabs>
        <w:jc w:val="both"/>
      </w:pPr>
    </w:p>
    <w:p w14:paraId="2F2C10B9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Važno je naglasiti da ovom Od</w:t>
      </w:r>
      <w:r w:rsidR="006470C8">
        <w:t>lukom se osigurava smanjivanje e</w:t>
      </w:r>
      <w:r w:rsidRPr="00AC5C1D">
        <w:t>nergetskog siromaštva za građane koji se griju na toplinskim sustavima.</w:t>
      </w:r>
    </w:p>
    <w:p w14:paraId="488A47EC" w14:textId="77777777" w:rsidR="006470C8" w:rsidRDefault="006470C8" w:rsidP="00AC5C1D">
      <w:pPr>
        <w:tabs>
          <w:tab w:val="left" w:pos="4020"/>
        </w:tabs>
        <w:jc w:val="both"/>
      </w:pPr>
    </w:p>
    <w:p w14:paraId="7BF603D8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 xml:space="preserve">Nakon primjene ove Odluke i završetkom ogrjevne sezone će Hrvatska energetska regulatorna agencija napravit analizu primljenih nadoknada i stvarnih troškova te će na temelju toga dostavit izvješće.  </w:t>
      </w:r>
    </w:p>
    <w:p w14:paraId="27FE70E1" w14:textId="77777777" w:rsidR="006470C8" w:rsidRDefault="006470C8" w:rsidP="00AC5C1D">
      <w:pPr>
        <w:tabs>
          <w:tab w:val="left" w:pos="4020"/>
        </w:tabs>
        <w:jc w:val="both"/>
      </w:pPr>
    </w:p>
    <w:p w14:paraId="673D2182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S obzirom da je preduvjet za donošenje ove Odluke je bilo potrebno donijeti pojedinačne odluka HERE za cijene  svakog pojedinog energetskog subjekta  i u tom postupku je  HERA izračunala razlike između iznosa razlike između jediničnih cijena u odnosu na krajnje cijene isporučene toplinske energije i temeljem tih podataka je napravljena ova Odluku. Postupak HERE je bio gotov tijekom listopada.</w:t>
      </w:r>
    </w:p>
    <w:p w14:paraId="2F3B53CA" w14:textId="77777777" w:rsidR="006470C8" w:rsidRDefault="006470C8" w:rsidP="00AC5C1D">
      <w:pPr>
        <w:tabs>
          <w:tab w:val="left" w:pos="4020"/>
        </w:tabs>
        <w:jc w:val="both"/>
      </w:pPr>
    </w:p>
    <w:p w14:paraId="120A44E0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U postupku koji je prethodio donošenju Odluka,  Hrvatska energetska regulatorna agencija je od svih energetskih subjekata u čijoj nadležnosti su centralni i zatvoreni toplinski sustavi zatražila dostavu:</w:t>
      </w:r>
    </w:p>
    <w:p w14:paraId="2F010CB5" w14:textId="77777777" w:rsidR="00AC5C1D" w:rsidRPr="00AC5C1D" w:rsidRDefault="009A45C7" w:rsidP="00AC5C1D">
      <w:pPr>
        <w:tabs>
          <w:tab w:val="left" w:pos="4020"/>
        </w:tabs>
        <w:jc w:val="both"/>
      </w:pPr>
      <w:r>
        <w:t xml:space="preserve">- </w:t>
      </w:r>
      <w:r w:rsidR="00AC5C1D" w:rsidRPr="00AC5C1D">
        <w:t>podataka o proizvedenoj i isporučenoj toplinskoj energiji u ogrjevnoj sezoni 2022./2023., o planiranoj proizvedenoj i isporučenoj toplinskoj energiji u ogrjevnoj sezoni 2023./2024., o proizvodnim postrojenjima, toplinskim sustavima, krajnjim kupcima, strukturi krajnjih cijena po tarifnim modelima, prihodima i rashodima tijekom ogrjevne sezone 2021./2022. te procjeni za ogrjevnu sezonu 2023./2024.</w:t>
      </w:r>
    </w:p>
    <w:p w14:paraId="56515298" w14:textId="77777777" w:rsidR="00AC5C1D" w:rsidRPr="00AC5C1D" w:rsidRDefault="009A45C7" w:rsidP="00AC5C1D">
      <w:pPr>
        <w:tabs>
          <w:tab w:val="left" w:pos="4020"/>
        </w:tabs>
        <w:jc w:val="both"/>
      </w:pPr>
      <w:r>
        <w:t>-</w:t>
      </w:r>
      <w:r w:rsidR="00AC5C1D" w:rsidRPr="00AC5C1D">
        <w:t>podataka o cijeni ulaznog energenta i cijeni emisijskih jedinica stakleničkih plinova,</w:t>
      </w:r>
    </w:p>
    <w:p w14:paraId="08DA7F11" w14:textId="77777777" w:rsidR="00AC5C1D" w:rsidRPr="00AC5C1D" w:rsidRDefault="009A45C7" w:rsidP="00AC5C1D">
      <w:pPr>
        <w:tabs>
          <w:tab w:val="left" w:pos="4020"/>
        </w:tabs>
        <w:jc w:val="both"/>
      </w:pPr>
      <w:r>
        <w:lastRenderedPageBreak/>
        <w:t>-</w:t>
      </w:r>
      <w:r w:rsidR="00AC5C1D" w:rsidRPr="00AC5C1D">
        <w:t xml:space="preserve">preslika faktura i ugovora o nabavi energenta iz kojih su vidljive cijene nabave za ogrjevnu sezonu 2022./2023. </w:t>
      </w:r>
    </w:p>
    <w:p w14:paraId="41496D97" w14:textId="77777777" w:rsidR="00AC5C1D" w:rsidRPr="00AC5C1D" w:rsidRDefault="009A45C7" w:rsidP="00AC5C1D">
      <w:pPr>
        <w:tabs>
          <w:tab w:val="left" w:pos="4020"/>
        </w:tabs>
        <w:jc w:val="both"/>
      </w:pPr>
      <w:r>
        <w:t>-</w:t>
      </w:r>
      <w:r w:rsidR="00AC5C1D" w:rsidRPr="00AC5C1D">
        <w:t>ugovora o nabavi energenata za ogrjevnu sezonu 2023./2024. iz kojih su razvidne cijene,</w:t>
      </w:r>
    </w:p>
    <w:p w14:paraId="38FE1F76" w14:textId="77777777" w:rsidR="00AC5C1D" w:rsidRPr="00AC5C1D" w:rsidRDefault="009A45C7" w:rsidP="00AC5C1D">
      <w:pPr>
        <w:tabs>
          <w:tab w:val="left" w:pos="4020"/>
        </w:tabs>
        <w:jc w:val="both"/>
      </w:pPr>
      <w:r>
        <w:t>-</w:t>
      </w:r>
      <w:r w:rsidR="00AC5C1D" w:rsidRPr="00AC5C1D">
        <w:t xml:space="preserve">strukture troškova tj. preslike računa iz kojih su vidljive važeće cijene koje su u primjeni za kućanstva te industriju i poslovne potrošače. </w:t>
      </w:r>
    </w:p>
    <w:p w14:paraId="0809B109" w14:textId="77777777" w:rsidR="00AC5C1D" w:rsidRPr="00AC5C1D" w:rsidRDefault="00AC5C1D" w:rsidP="00AC5C1D">
      <w:pPr>
        <w:tabs>
          <w:tab w:val="left" w:pos="4020"/>
        </w:tabs>
        <w:jc w:val="both"/>
      </w:pPr>
    </w:p>
    <w:p w14:paraId="76D95E76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Relevantni podaci na temelju kojih se računala jedinična cijena za proizvodnju toplinske energije za centralne i zatvorene toplinske sustave su :</w:t>
      </w:r>
    </w:p>
    <w:p w14:paraId="0C09DDEA" w14:textId="77777777" w:rsidR="00AC5C1D" w:rsidRPr="00AC5C1D" w:rsidRDefault="009A45C7" w:rsidP="00AC5C1D">
      <w:pPr>
        <w:tabs>
          <w:tab w:val="left" w:pos="4020"/>
        </w:tabs>
        <w:jc w:val="both"/>
      </w:pPr>
      <w:r>
        <w:t>-</w:t>
      </w:r>
      <w:r w:rsidR="00AC5C1D" w:rsidRPr="00AC5C1D">
        <w:t>količina isporučene toplinske energije po tarifnim modelima TM1 i TM2;</w:t>
      </w:r>
    </w:p>
    <w:p w14:paraId="71931606" w14:textId="77777777" w:rsidR="00AC5C1D" w:rsidRPr="00AC5C1D" w:rsidRDefault="009A45C7" w:rsidP="00AC5C1D">
      <w:pPr>
        <w:tabs>
          <w:tab w:val="left" w:pos="4020"/>
        </w:tabs>
        <w:jc w:val="both"/>
      </w:pPr>
      <w:r>
        <w:t>-</w:t>
      </w:r>
      <w:r w:rsidR="00AC5C1D" w:rsidRPr="00AC5C1D">
        <w:t>cijena energenta (goriva) za ogrjevnu sezonu 2022./2023. određena na temelju dostavljenih preslike faktura i ugovora o nabavi energenta iz kojih su vidljive cijene nabave za ogrjevnu sezonu 2022./2023.;</w:t>
      </w:r>
    </w:p>
    <w:p w14:paraId="32C0D0FA" w14:textId="77777777" w:rsidR="00AC5C1D" w:rsidRPr="00AC5C1D" w:rsidRDefault="009A45C7" w:rsidP="00AC5C1D">
      <w:pPr>
        <w:tabs>
          <w:tab w:val="left" w:pos="4020"/>
        </w:tabs>
        <w:jc w:val="both"/>
      </w:pPr>
      <w:r>
        <w:t>-</w:t>
      </w:r>
      <w:r w:rsidR="00AC5C1D" w:rsidRPr="00AC5C1D">
        <w:t>cijena energenta (goriva) za ogrjevnu sezonu 2023./2024. određena na temelju dostavljenih ugovora o nabavi energenta iz kojih su vidljive cijene nabave za ogrjevnu sezonu 2023./2024.</w:t>
      </w:r>
    </w:p>
    <w:p w14:paraId="2A1DD6C5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-</w:t>
      </w:r>
      <w:r w:rsidR="009A45C7">
        <w:t xml:space="preserve"> </w:t>
      </w:r>
      <w:r w:rsidRPr="00AC5C1D">
        <w:t>prema Odluci porast cijene energenata i emisijskih jedinica stakleničkih plinova primijenjen je na jedinične cijene energije za proizvodnju toplinske energije.</w:t>
      </w:r>
    </w:p>
    <w:p w14:paraId="55C51623" w14:textId="77777777" w:rsidR="00AC5C1D" w:rsidRPr="00AC5C1D" w:rsidRDefault="00AC5C1D" w:rsidP="00AC5C1D">
      <w:pPr>
        <w:tabs>
          <w:tab w:val="left" w:pos="4020"/>
        </w:tabs>
        <w:jc w:val="both"/>
      </w:pPr>
    </w:p>
    <w:p w14:paraId="04EF1D00" w14:textId="77777777" w:rsidR="00AC5C1D" w:rsidRPr="00AC5C1D" w:rsidRDefault="00AC5C1D" w:rsidP="00AC5C1D">
      <w:pPr>
        <w:tabs>
          <w:tab w:val="left" w:pos="4020"/>
        </w:tabs>
        <w:jc w:val="both"/>
      </w:pPr>
      <w:r w:rsidRPr="00AC5C1D">
        <w:t>Zbog iznimne važnosti za gospodarstvo navedeno se primjenjuje od prvog dana od dana objave</w:t>
      </w:r>
      <w:r w:rsidR="009A45C7">
        <w:t xml:space="preserve"> kako bi se osigurao kontinuitet opskrbe kupaca toplinskom energijom cijenama koje vrijede od 1. listopada 2024. te kako bi se eventualna r</w:t>
      </w:r>
      <w:r w:rsidR="00994FF1">
        <w:t xml:space="preserve">azlika </w:t>
      </w:r>
      <w:r w:rsidR="009A45C7">
        <w:t>adekvatno nadoknadila</w:t>
      </w:r>
      <w:r w:rsidR="00994FF1">
        <w:t xml:space="preserve"> te se ne bi dugoročno ugrozilo poslovanje energetskih subjekata u sektoru toplinarstva.</w:t>
      </w:r>
    </w:p>
    <w:sectPr w:rsidR="00AC5C1D" w:rsidRPr="00AC5C1D" w:rsidSect="00E51576">
      <w:footerReference w:type="default" r:id="rId13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B381D" w14:textId="77777777" w:rsidR="008D04F6" w:rsidRDefault="008D04F6" w:rsidP="00AA5015">
      <w:r>
        <w:separator/>
      </w:r>
    </w:p>
  </w:endnote>
  <w:endnote w:type="continuationSeparator" w:id="0">
    <w:p w14:paraId="355478D8" w14:textId="77777777" w:rsidR="008D04F6" w:rsidRDefault="008D04F6" w:rsidP="00AA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2EBAD" w14:textId="77777777" w:rsidR="00053A65" w:rsidRPr="00053A65" w:rsidRDefault="00053A65" w:rsidP="00053A6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053A6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7F80E" w14:textId="77777777" w:rsidR="008D04F6" w:rsidRDefault="008D04F6" w:rsidP="00AA5015">
      <w:r>
        <w:separator/>
      </w:r>
    </w:p>
  </w:footnote>
  <w:footnote w:type="continuationSeparator" w:id="0">
    <w:p w14:paraId="7A94115E" w14:textId="77777777" w:rsidR="008D04F6" w:rsidRDefault="008D04F6" w:rsidP="00AA5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015"/>
    <w:rsid w:val="00053A65"/>
    <w:rsid w:val="000D235B"/>
    <w:rsid w:val="000D38C9"/>
    <w:rsid w:val="001448D5"/>
    <w:rsid w:val="00156B58"/>
    <w:rsid w:val="001635F4"/>
    <w:rsid w:val="0022597A"/>
    <w:rsid w:val="002E005C"/>
    <w:rsid w:val="002E19BE"/>
    <w:rsid w:val="00302ADF"/>
    <w:rsid w:val="00303F09"/>
    <w:rsid w:val="00320DBC"/>
    <w:rsid w:val="00327CC7"/>
    <w:rsid w:val="00353B93"/>
    <w:rsid w:val="003C4C12"/>
    <w:rsid w:val="003D0EF9"/>
    <w:rsid w:val="004459D4"/>
    <w:rsid w:val="00464BEC"/>
    <w:rsid w:val="00563BCE"/>
    <w:rsid w:val="00590988"/>
    <w:rsid w:val="00644B4F"/>
    <w:rsid w:val="006470C8"/>
    <w:rsid w:val="006C0FE6"/>
    <w:rsid w:val="006D0B70"/>
    <w:rsid w:val="00774E99"/>
    <w:rsid w:val="007A1CE3"/>
    <w:rsid w:val="007A6F85"/>
    <w:rsid w:val="007D05D3"/>
    <w:rsid w:val="00801C06"/>
    <w:rsid w:val="008B4307"/>
    <w:rsid w:val="008D04F6"/>
    <w:rsid w:val="00912BDC"/>
    <w:rsid w:val="0092325B"/>
    <w:rsid w:val="009778AC"/>
    <w:rsid w:val="00983259"/>
    <w:rsid w:val="00994FF1"/>
    <w:rsid w:val="009A45C7"/>
    <w:rsid w:val="009C4223"/>
    <w:rsid w:val="009E4D28"/>
    <w:rsid w:val="00A01A01"/>
    <w:rsid w:val="00A3592D"/>
    <w:rsid w:val="00A941B8"/>
    <w:rsid w:val="00AA06C7"/>
    <w:rsid w:val="00AA5015"/>
    <w:rsid w:val="00AC5C1D"/>
    <w:rsid w:val="00AC70A0"/>
    <w:rsid w:val="00AF51AB"/>
    <w:rsid w:val="00B15F06"/>
    <w:rsid w:val="00B741D2"/>
    <w:rsid w:val="00C27EC1"/>
    <w:rsid w:val="00CF7071"/>
    <w:rsid w:val="00DA33D3"/>
    <w:rsid w:val="00DC1706"/>
    <w:rsid w:val="00DD7ACD"/>
    <w:rsid w:val="00E255B3"/>
    <w:rsid w:val="00E51576"/>
    <w:rsid w:val="00E80CF7"/>
    <w:rsid w:val="00EF58DB"/>
    <w:rsid w:val="00F1744E"/>
    <w:rsid w:val="00F47C1D"/>
    <w:rsid w:val="00F724E9"/>
    <w:rsid w:val="00F77298"/>
    <w:rsid w:val="00F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D10"/>
  <w15:docId w15:val="{1D6A5732-85D3-49F4-A579-E1DAC573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05C"/>
    <w:pPr>
      <w:spacing w:after="0" w:line="240" w:lineRule="auto"/>
    </w:pPr>
    <w:rPr>
      <w:rFonts w:ascii="Times New Roman" w:hAnsi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3762">
    <w:name w:val="box_473762"/>
    <w:basedOn w:val="Normal"/>
    <w:rsid w:val="00AA5015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A50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015"/>
    <w:rPr>
      <w:rFonts w:ascii="Times New Roman" w:hAnsi="Times New Roma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A50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015"/>
    <w:rPr>
      <w:rFonts w:ascii="Times New Roman" w:hAnsi="Times New Roman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5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92D"/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92D"/>
    <w:rPr>
      <w:rFonts w:ascii="Times New Roman" w:hAnsi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2D"/>
    <w:rPr>
      <w:rFonts w:ascii="Segoe UI" w:hAnsi="Segoe UI" w:cs="Segoe UI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45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56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53A6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ergetika@mingo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A455521B50743B4943933ABE5A21C" ma:contentTypeVersion="4" ma:contentTypeDescription="Stvaranje novog dokumenta." ma:contentTypeScope="" ma:versionID="ca1706b162e74364f9725b57c23be63b">
  <xsd:schema xmlns:xsd="http://www.w3.org/2001/XMLSchema" xmlns:xs="http://www.w3.org/2001/XMLSchema" xmlns:p="http://schemas.microsoft.com/office/2006/metadata/properties" xmlns:ns2="6146af7f-0084-4d73-ba03-3592ba94085f" xmlns:ns3="8a82bc6d-1008-4ef1-b78b-852bf17b66d3" targetNamespace="http://schemas.microsoft.com/office/2006/metadata/properties" ma:root="true" ma:fieldsID="46c63005ed43945bcfc0c63393e5b5df" ns2:_="" ns3:_="">
    <xsd:import namespace="6146af7f-0084-4d73-ba03-3592ba94085f"/>
    <xsd:import namespace="8a82bc6d-1008-4ef1-b78b-852bf17b66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af7f-0084-4d73-ba03-3592ba9408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2bc6d-1008-4ef1-b78b-852bf17b6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46af7f-0084-4d73-ba03-3592ba94085f">WAVD2PKNWJCJ-1329676827-5141</_dlc_DocId>
    <_dlc_DocIdUrl xmlns="6146af7f-0084-4d73-ba03-3592ba94085f">
      <Url>https://infohera.sharepoint.com/sites/EGOPSTORAGEPROD1/_layouts/15/DocIdRedir.aspx?ID=WAVD2PKNWJCJ-1329676827-5141</Url>
      <Description>WAVD2PKNWJCJ-1329676827-5141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02C0-7E43-4669-A368-C319C3EE7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6af7f-0084-4d73-ba03-3592ba94085f"/>
    <ds:schemaRef ds:uri="8a82bc6d-1008-4ef1-b78b-852bf17b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64B92-EEFB-4859-ADE7-BDAF1F1256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A3A31C-3C9D-40A4-9D90-BD7FBE6E8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8EE1F-E7F0-4311-B4B0-808035736A28}">
  <ds:schemaRefs>
    <ds:schemaRef ds:uri="8a82bc6d-1008-4ef1-b78b-852bf17b66d3"/>
    <ds:schemaRef ds:uri="http://schemas.openxmlformats.org/package/2006/metadata/core-properties"/>
    <ds:schemaRef ds:uri="http://purl.org/dc/terms/"/>
    <ds:schemaRef ds:uri="6146af7f-0084-4d73-ba03-3592ba94085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3ECC1B2-D34D-417B-8097-79D1DFD4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Komperg d.o.o.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 Trakoštanec Jokić</dc:creator>
  <cp:lastModifiedBy>Larisa Petrić</cp:lastModifiedBy>
  <cp:revision>5</cp:revision>
  <dcterms:created xsi:type="dcterms:W3CDTF">2025-03-15T08:39:00Z</dcterms:created>
  <dcterms:modified xsi:type="dcterms:W3CDTF">2025-03-25T09:14:00Z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0x01010078EA455521B50743B4943933ABE5A21C</vt:lpwstr>
  </property>
  <property fmtid="{D5CDD505-2E9C-101B-9397-08002B2CF9AE}" pid="3" name="_dlc_DocIdItemGuid">
    <vt:lpwstr>368be70c-52c0-42b9-893c-619b6fe53b91</vt:lpwstr>
  </property>
</Properties>
</file>